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4A7A9" w14:textId="0F8F6143" w:rsidR="00C6349F" w:rsidRPr="00C6349F" w:rsidRDefault="00C6349F" w:rsidP="00C6349F">
      <w:pPr>
        <w:rPr>
          <w:color w:val="auto"/>
          <w:sz w:val="24"/>
          <w:szCs w:val="24"/>
        </w:rPr>
      </w:pPr>
      <w:r w:rsidRPr="00C6349F">
        <w:rPr>
          <w:color w:val="auto"/>
          <w:sz w:val="24"/>
          <w:szCs w:val="24"/>
        </w:rPr>
        <w:t>Tarievenlijst voor 202</w:t>
      </w:r>
      <w:r>
        <w:rPr>
          <w:color w:val="auto"/>
          <w:sz w:val="24"/>
          <w:szCs w:val="24"/>
        </w:rPr>
        <w:t>5</w:t>
      </w:r>
      <w:r w:rsidRPr="00C6349F">
        <w:rPr>
          <w:color w:val="auto"/>
          <w:sz w:val="24"/>
          <w:szCs w:val="24"/>
        </w:rPr>
        <w:t xml:space="preserve"> van kinderdagverblijf Het</w:t>
      </w:r>
      <w:r>
        <w:rPr>
          <w:color w:val="auto"/>
          <w:sz w:val="24"/>
          <w:szCs w:val="24"/>
        </w:rPr>
        <w:t xml:space="preserve"> </w:t>
      </w:r>
      <w:r w:rsidRPr="00C6349F">
        <w:rPr>
          <w:color w:val="auto"/>
          <w:sz w:val="24"/>
          <w:szCs w:val="24"/>
        </w:rPr>
        <w:t>Coendersnest.</w:t>
      </w:r>
    </w:p>
    <w:p w14:paraId="075DA8DA" w14:textId="77777777" w:rsidR="00AE438D" w:rsidRDefault="00AE438D"/>
    <w:p w14:paraId="77220331" w14:textId="77777777" w:rsidR="00C6349F" w:rsidRDefault="00C6349F"/>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05"/>
        <w:gridCol w:w="1330"/>
        <w:gridCol w:w="993"/>
        <w:gridCol w:w="1134"/>
        <w:gridCol w:w="1275"/>
        <w:gridCol w:w="1418"/>
      </w:tblGrid>
      <w:tr w:rsidR="00AE438D" w:rsidRPr="00C6349F" w14:paraId="318D8EB3" w14:textId="77777777" w:rsidTr="00A22D44">
        <w:tc>
          <w:tcPr>
            <w:tcW w:w="1242" w:type="dxa"/>
            <w:shd w:val="clear" w:color="auto" w:fill="auto"/>
          </w:tcPr>
          <w:p w14:paraId="73A809FB" w14:textId="77777777" w:rsidR="00AE438D" w:rsidRPr="00C6349F" w:rsidRDefault="00AE438D" w:rsidP="00A22D44">
            <w:pPr>
              <w:jc w:val="center"/>
              <w:rPr>
                <w:color w:val="auto"/>
              </w:rPr>
            </w:pPr>
            <w:r w:rsidRPr="00C6349F">
              <w:rPr>
                <w:color w:val="auto"/>
              </w:rPr>
              <w:t>Aantal dagdelen</w:t>
            </w:r>
          </w:p>
        </w:tc>
        <w:tc>
          <w:tcPr>
            <w:tcW w:w="1505" w:type="dxa"/>
            <w:shd w:val="clear" w:color="auto" w:fill="auto"/>
          </w:tcPr>
          <w:p w14:paraId="1093E456" w14:textId="77777777" w:rsidR="00AE438D" w:rsidRPr="00C6349F" w:rsidRDefault="00AE438D" w:rsidP="00A22D44">
            <w:pPr>
              <w:jc w:val="center"/>
              <w:rPr>
                <w:color w:val="auto"/>
              </w:rPr>
            </w:pPr>
            <w:r w:rsidRPr="00C6349F">
              <w:rPr>
                <w:color w:val="auto"/>
              </w:rPr>
              <w:t>Aantal uren per week</w:t>
            </w:r>
          </w:p>
        </w:tc>
        <w:tc>
          <w:tcPr>
            <w:tcW w:w="2323" w:type="dxa"/>
            <w:gridSpan w:val="2"/>
            <w:shd w:val="clear" w:color="auto" w:fill="auto"/>
          </w:tcPr>
          <w:p w14:paraId="14AB7E5A" w14:textId="77777777" w:rsidR="00AE438D" w:rsidRPr="00C6349F" w:rsidRDefault="00AE438D" w:rsidP="00A22D44">
            <w:pPr>
              <w:jc w:val="center"/>
              <w:rPr>
                <w:color w:val="auto"/>
              </w:rPr>
            </w:pPr>
            <w:r w:rsidRPr="00C6349F">
              <w:rPr>
                <w:color w:val="auto"/>
              </w:rPr>
              <w:t>Gemiddelde uren</w:t>
            </w:r>
          </w:p>
        </w:tc>
        <w:tc>
          <w:tcPr>
            <w:tcW w:w="3827" w:type="dxa"/>
            <w:gridSpan w:val="3"/>
            <w:shd w:val="clear" w:color="auto" w:fill="auto"/>
          </w:tcPr>
          <w:p w14:paraId="121B04A3" w14:textId="77777777" w:rsidR="00AE438D" w:rsidRPr="00C6349F" w:rsidRDefault="00AE438D" w:rsidP="00A22D44">
            <w:pPr>
              <w:jc w:val="center"/>
              <w:rPr>
                <w:color w:val="auto"/>
              </w:rPr>
            </w:pPr>
            <w:r w:rsidRPr="00C6349F">
              <w:rPr>
                <w:color w:val="auto"/>
              </w:rPr>
              <w:t>Kosten</w:t>
            </w:r>
          </w:p>
        </w:tc>
      </w:tr>
      <w:tr w:rsidR="00AE438D" w:rsidRPr="00C6349F" w14:paraId="1332FF23" w14:textId="77777777" w:rsidTr="00A22D44">
        <w:tc>
          <w:tcPr>
            <w:tcW w:w="1242" w:type="dxa"/>
            <w:shd w:val="clear" w:color="auto" w:fill="auto"/>
          </w:tcPr>
          <w:p w14:paraId="1EA82652" w14:textId="77777777" w:rsidR="00AE438D" w:rsidRPr="00C6349F" w:rsidRDefault="00AE438D" w:rsidP="00A22D44">
            <w:pPr>
              <w:rPr>
                <w:color w:val="auto"/>
              </w:rPr>
            </w:pPr>
          </w:p>
        </w:tc>
        <w:tc>
          <w:tcPr>
            <w:tcW w:w="1505" w:type="dxa"/>
            <w:shd w:val="clear" w:color="auto" w:fill="auto"/>
          </w:tcPr>
          <w:p w14:paraId="33D2E198" w14:textId="77777777" w:rsidR="00AE438D" w:rsidRPr="00C6349F" w:rsidRDefault="00AE438D" w:rsidP="00A22D44">
            <w:pPr>
              <w:rPr>
                <w:color w:val="auto"/>
              </w:rPr>
            </w:pPr>
          </w:p>
        </w:tc>
        <w:tc>
          <w:tcPr>
            <w:tcW w:w="1330" w:type="dxa"/>
            <w:shd w:val="clear" w:color="auto" w:fill="auto"/>
          </w:tcPr>
          <w:p w14:paraId="3C255AD6" w14:textId="77777777" w:rsidR="00AE438D" w:rsidRPr="00C6349F" w:rsidRDefault="00AE438D" w:rsidP="00A22D44">
            <w:pPr>
              <w:rPr>
                <w:color w:val="auto"/>
              </w:rPr>
            </w:pPr>
            <w:r w:rsidRPr="00C6349F">
              <w:rPr>
                <w:color w:val="auto"/>
              </w:rPr>
              <w:t>per maand</w:t>
            </w:r>
          </w:p>
        </w:tc>
        <w:tc>
          <w:tcPr>
            <w:tcW w:w="993" w:type="dxa"/>
            <w:shd w:val="clear" w:color="auto" w:fill="auto"/>
          </w:tcPr>
          <w:p w14:paraId="001A9CB0" w14:textId="77777777" w:rsidR="00AE438D" w:rsidRPr="00C6349F" w:rsidRDefault="00AE438D" w:rsidP="00A22D44">
            <w:pPr>
              <w:rPr>
                <w:color w:val="auto"/>
              </w:rPr>
            </w:pPr>
            <w:r w:rsidRPr="00C6349F">
              <w:rPr>
                <w:color w:val="auto"/>
              </w:rPr>
              <w:t>per jaar</w:t>
            </w:r>
          </w:p>
        </w:tc>
        <w:tc>
          <w:tcPr>
            <w:tcW w:w="1134" w:type="dxa"/>
            <w:shd w:val="clear" w:color="auto" w:fill="auto"/>
          </w:tcPr>
          <w:p w14:paraId="17F9B05B" w14:textId="77777777" w:rsidR="00AE438D" w:rsidRPr="00C6349F" w:rsidRDefault="00AE438D" w:rsidP="00A22D44">
            <w:pPr>
              <w:rPr>
                <w:color w:val="auto"/>
              </w:rPr>
            </w:pPr>
            <w:r w:rsidRPr="00C6349F">
              <w:rPr>
                <w:color w:val="auto"/>
              </w:rPr>
              <w:t>per week</w:t>
            </w:r>
          </w:p>
        </w:tc>
        <w:tc>
          <w:tcPr>
            <w:tcW w:w="1275" w:type="dxa"/>
            <w:shd w:val="clear" w:color="auto" w:fill="auto"/>
          </w:tcPr>
          <w:p w14:paraId="60EF512D" w14:textId="77777777" w:rsidR="00AE438D" w:rsidRPr="00C6349F" w:rsidRDefault="00AE438D" w:rsidP="00A22D44">
            <w:pPr>
              <w:rPr>
                <w:color w:val="auto"/>
              </w:rPr>
            </w:pPr>
            <w:r w:rsidRPr="00C6349F">
              <w:rPr>
                <w:color w:val="auto"/>
              </w:rPr>
              <w:t>per maand</w:t>
            </w:r>
          </w:p>
        </w:tc>
        <w:tc>
          <w:tcPr>
            <w:tcW w:w="1418" w:type="dxa"/>
            <w:shd w:val="clear" w:color="auto" w:fill="auto"/>
          </w:tcPr>
          <w:p w14:paraId="580A0372" w14:textId="77777777" w:rsidR="00AE438D" w:rsidRPr="00C6349F" w:rsidRDefault="00AE438D" w:rsidP="00A22D44">
            <w:pPr>
              <w:rPr>
                <w:color w:val="auto"/>
              </w:rPr>
            </w:pPr>
            <w:r w:rsidRPr="00C6349F">
              <w:rPr>
                <w:color w:val="auto"/>
              </w:rPr>
              <w:t>per jaar</w:t>
            </w:r>
          </w:p>
        </w:tc>
      </w:tr>
      <w:tr w:rsidR="00AE438D" w:rsidRPr="00C6349F" w14:paraId="17E0274C" w14:textId="77777777" w:rsidTr="00A22D44">
        <w:trPr>
          <w:trHeight w:val="516"/>
        </w:trPr>
        <w:tc>
          <w:tcPr>
            <w:tcW w:w="8897" w:type="dxa"/>
            <w:gridSpan w:val="7"/>
            <w:shd w:val="clear" w:color="auto" w:fill="auto"/>
            <w:vAlign w:val="center"/>
          </w:tcPr>
          <w:p w14:paraId="2672A993" w14:textId="7D6BDA86" w:rsidR="00AE438D" w:rsidRPr="00C6349F" w:rsidRDefault="00AE438D" w:rsidP="00A22D44">
            <w:pPr>
              <w:rPr>
                <w:color w:val="auto"/>
              </w:rPr>
            </w:pPr>
            <w:r w:rsidRPr="00C6349F">
              <w:rPr>
                <w:color w:val="auto"/>
              </w:rPr>
              <w:t>Regulier uurtarief € 10</w:t>
            </w:r>
            <w:r w:rsidRPr="00C6349F">
              <w:rPr>
                <w:color w:val="auto"/>
              </w:rPr>
              <w:t>,72</w:t>
            </w:r>
            <w:r w:rsidRPr="00C6349F">
              <w:rPr>
                <w:color w:val="auto"/>
              </w:rPr>
              <w:t xml:space="preserve"> voor </w:t>
            </w:r>
            <w:r w:rsidRPr="00C6349F">
              <w:rPr>
                <w:b/>
                <w:bCs/>
                <w:color w:val="auto"/>
                <w:u w:val="single"/>
              </w:rPr>
              <w:t>51 weken</w:t>
            </w:r>
            <w:r w:rsidRPr="00C6349F">
              <w:rPr>
                <w:color w:val="auto"/>
              </w:rPr>
              <w:t xml:space="preserve"> </w:t>
            </w:r>
          </w:p>
        </w:tc>
      </w:tr>
      <w:tr w:rsidR="00AE438D" w:rsidRPr="00C6349F" w14:paraId="53A32751" w14:textId="77777777" w:rsidTr="00A22D44">
        <w:tc>
          <w:tcPr>
            <w:tcW w:w="1242" w:type="dxa"/>
            <w:shd w:val="clear" w:color="auto" w:fill="auto"/>
          </w:tcPr>
          <w:p w14:paraId="0D505F9C" w14:textId="77777777" w:rsidR="00AE438D" w:rsidRPr="00C6349F" w:rsidRDefault="00AE438D" w:rsidP="00A22D44">
            <w:pPr>
              <w:jc w:val="center"/>
              <w:rPr>
                <w:color w:val="auto"/>
              </w:rPr>
            </w:pPr>
            <w:r w:rsidRPr="00C6349F">
              <w:rPr>
                <w:color w:val="auto"/>
              </w:rPr>
              <w:t>1</w:t>
            </w:r>
          </w:p>
        </w:tc>
        <w:tc>
          <w:tcPr>
            <w:tcW w:w="1505" w:type="dxa"/>
            <w:shd w:val="clear" w:color="auto" w:fill="auto"/>
            <w:vAlign w:val="center"/>
          </w:tcPr>
          <w:p w14:paraId="5F70A4B5" w14:textId="77777777" w:rsidR="00AE438D" w:rsidRPr="00C6349F" w:rsidRDefault="00AE438D" w:rsidP="00A22D44">
            <w:pPr>
              <w:rPr>
                <w:color w:val="auto"/>
              </w:rPr>
            </w:pPr>
            <w:r w:rsidRPr="00C6349F">
              <w:rPr>
                <w:color w:val="auto"/>
              </w:rPr>
              <w:t>6</w:t>
            </w:r>
          </w:p>
        </w:tc>
        <w:tc>
          <w:tcPr>
            <w:tcW w:w="1330" w:type="dxa"/>
            <w:shd w:val="clear" w:color="auto" w:fill="auto"/>
          </w:tcPr>
          <w:p w14:paraId="7F6BA711" w14:textId="77777777" w:rsidR="00AE438D" w:rsidRPr="00C6349F" w:rsidRDefault="00AE438D" w:rsidP="00A22D44">
            <w:pPr>
              <w:jc w:val="both"/>
              <w:rPr>
                <w:color w:val="auto"/>
              </w:rPr>
            </w:pPr>
            <w:r w:rsidRPr="00C6349F">
              <w:rPr>
                <w:color w:val="auto"/>
              </w:rPr>
              <w:t>25,5</w:t>
            </w:r>
          </w:p>
        </w:tc>
        <w:tc>
          <w:tcPr>
            <w:tcW w:w="993" w:type="dxa"/>
            <w:shd w:val="clear" w:color="auto" w:fill="auto"/>
          </w:tcPr>
          <w:p w14:paraId="5FF525EB" w14:textId="77777777" w:rsidR="00AE438D" w:rsidRPr="00C6349F" w:rsidRDefault="00AE438D" w:rsidP="00A22D44">
            <w:pPr>
              <w:rPr>
                <w:color w:val="auto"/>
              </w:rPr>
            </w:pPr>
            <w:r w:rsidRPr="00C6349F">
              <w:rPr>
                <w:color w:val="auto"/>
              </w:rPr>
              <w:t>306</w:t>
            </w:r>
          </w:p>
        </w:tc>
        <w:tc>
          <w:tcPr>
            <w:tcW w:w="1134" w:type="dxa"/>
            <w:shd w:val="clear" w:color="auto" w:fill="auto"/>
          </w:tcPr>
          <w:p w14:paraId="5ABC9431" w14:textId="590BA4B7" w:rsidR="00AE438D" w:rsidRPr="00C6349F" w:rsidRDefault="00AE438D" w:rsidP="00A22D44">
            <w:pPr>
              <w:rPr>
                <w:color w:val="auto"/>
              </w:rPr>
            </w:pPr>
            <w:r w:rsidRPr="00C6349F">
              <w:rPr>
                <w:color w:val="auto"/>
              </w:rPr>
              <w:t>€ 6</w:t>
            </w:r>
            <w:r w:rsidRPr="00C6349F">
              <w:rPr>
                <w:color w:val="auto"/>
              </w:rPr>
              <w:t>4,32</w:t>
            </w:r>
          </w:p>
        </w:tc>
        <w:tc>
          <w:tcPr>
            <w:tcW w:w="1275" w:type="dxa"/>
            <w:shd w:val="clear" w:color="auto" w:fill="auto"/>
          </w:tcPr>
          <w:p w14:paraId="0F8E0441" w14:textId="123E2D4A" w:rsidR="00AE438D" w:rsidRPr="00C6349F" w:rsidRDefault="00AE438D" w:rsidP="00A22D44">
            <w:pPr>
              <w:rPr>
                <w:color w:val="auto"/>
              </w:rPr>
            </w:pPr>
            <w:r w:rsidRPr="00C6349F">
              <w:rPr>
                <w:color w:val="auto"/>
              </w:rPr>
              <w:t>€ 2</w:t>
            </w:r>
            <w:r w:rsidRPr="00C6349F">
              <w:rPr>
                <w:color w:val="auto"/>
              </w:rPr>
              <w:t>73,36</w:t>
            </w:r>
          </w:p>
        </w:tc>
        <w:tc>
          <w:tcPr>
            <w:tcW w:w="1418" w:type="dxa"/>
            <w:shd w:val="clear" w:color="auto" w:fill="auto"/>
          </w:tcPr>
          <w:p w14:paraId="5645ED08" w14:textId="4FBEFC1F" w:rsidR="00AE438D" w:rsidRPr="00C6349F" w:rsidRDefault="00AE438D" w:rsidP="00A22D44">
            <w:pPr>
              <w:rPr>
                <w:color w:val="auto"/>
              </w:rPr>
            </w:pPr>
            <w:r w:rsidRPr="00C6349F">
              <w:rPr>
                <w:color w:val="auto"/>
              </w:rPr>
              <w:t>€ 3</w:t>
            </w:r>
            <w:r w:rsidRPr="00C6349F">
              <w:rPr>
                <w:color w:val="auto"/>
              </w:rPr>
              <w:t>280,32</w:t>
            </w:r>
          </w:p>
        </w:tc>
      </w:tr>
      <w:tr w:rsidR="00AE438D" w:rsidRPr="00C6349F" w14:paraId="6F84834C" w14:textId="77777777" w:rsidTr="00A22D44">
        <w:tc>
          <w:tcPr>
            <w:tcW w:w="1242" w:type="dxa"/>
            <w:shd w:val="clear" w:color="auto" w:fill="auto"/>
          </w:tcPr>
          <w:p w14:paraId="35283F58" w14:textId="77777777" w:rsidR="00AE438D" w:rsidRPr="00C6349F" w:rsidRDefault="00AE438D" w:rsidP="00A22D44">
            <w:pPr>
              <w:jc w:val="center"/>
              <w:rPr>
                <w:color w:val="auto"/>
              </w:rPr>
            </w:pPr>
            <w:r w:rsidRPr="00C6349F">
              <w:rPr>
                <w:color w:val="auto"/>
              </w:rPr>
              <w:t>2</w:t>
            </w:r>
          </w:p>
        </w:tc>
        <w:tc>
          <w:tcPr>
            <w:tcW w:w="1505" w:type="dxa"/>
            <w:shd w:val="clear" w:color="auto" w:fill="auto"/>
            <w:vAlign w:val="center"/>
          </w:tcPr>
          <w:p w14:paraId="6412E28A" w14:textId="77777777" w:rsidR="00AE438D" w:rsidRPr="00C6349F" w:rsidRDefault="00AE438D" w:rsidP="00A22D44">
            <w:pPr>
              <w:rPr>
                <w:color w:val="auto"/>
              </w:rPr>
            </w:pPr>
            <w:r w:rsidRPr="00C6349F">
              <w:rPr>
                <w:color w:val="auto"/>
              </w:rPr>
              <w:t>11,5</w:t>
            </w:r>
          </w:p>
        </w:tc>
        <w:tc>
          <w:tcPr>
            <w:tcW w:w="1330" w:type="dxa"/>
            <w:shd w:val="clear" w:color="auto" w:fill="auto"/>
          </w:tcPr>
          <w:p w14:paraId="4389C497" w14:textId="77777777" w:rsidR="00AE438D" w:rsidRPr="00C6349F" w:rsidRDefault="00AE438D" w:rsidP="00A22D44">
            <w:pPr>
              <w:jc w:val="both"/>
              <w:rPr>
                <w:color w:val="auto"/>
              </w:rPr>
            </w:pPr>
            <w:r w:rsidRPr="00C6349F">
              <w:rPr>
                <w:color w:val="auto"/>
              </w:rPr>
              <w:t>48,88</w:t>
            </w:r>
          </w:p>
        </w:tc>
        <w:tc>
          <w:tcPr>
            <w:tcW w:w="993" w:type="dxa"/>
            <w:shd w:val="clear" w:color="auto" w:fill="auto"/>
          </w:tcPr>
          <w:p w14:paraId="1747A362" w14:textId="77777777" w:rsidR="00AE438D" w:rsidRPr="00C6349F" w:rsidRDefault="00AE438D" w:rsidP="00A22D44">
            <w:pPr>
              <w:rPr>
                <w:color w:val="auto"/>
              </w:rPr>
            </w:pPr>
            <w:r w:rsidRPr="00C6349F">
              <w:rPr>
                <w:color w:val="auto"/>
              </w:rPr>
              <w:t>586,5</w:t>
            </w:r>
          </w:p>
        </w:tc>
        <w:tc>
          <w:tcPr>
            <w:tcW w:w="1134" w:type="dxa"/>
            <w:shd w:val="clear" w:color="auto" w:fill="auto"/>
          </w:tcPr>
          <w:p w14:paraId="3253A7DE" w14:textId="39FF34A7" w:rsidR="00AE438D" w:rsidRPr="00C6349F" w:rsidRDefault="00AE438D" w:rsidP="00A22D44">
            <w:pPr>
              <w:rPr>
                <w:color w:val="auto"/>
              </w:rPr>
            </w:pPr>
            <w:r w:rsidRPr="00C6349F">
              <w:rPr>
                <w:color w:val="auto"/>
              </w:rPr>
              <w:t xml:space="preserve">€ </w:t>
            </w:r>
            <w:r w:rsidRPr="00C6349F">
              <w:rPr>
                <w:color w:val="auto"/>
              </w:rPr>
              <w:t>123,28</w:t>
            </w:r>
          </w:p>
        </w:tc>
        <w:tc>
          <w:tcPr>
            <w:tcW w:w="1275" w:type="dxa"/>
            <w:shd w:val="clear" w:color="auto" w:fill="auto"/>
          </w:tcPr>
          <w:p w14:paraId="4E5BAB24" w14:textId="1CFD1D54" w:rsidR="00AE438D" w:rsidRPr="00C6349F" w:rsidRDefault="00AE438D" w:rsidP="00A22D44">
            <w:pPr>
              <w:rPr>
                <w:color w:val="auto"/>
              </w:rPr>
            </w:pPr>
            <w:r w:rsidRPr="00C6349F">
              <w:rPr>
                <w:color w:val="auto"/>
              </w:rPr>
              <w:t xml:space="preserve">€ </w:t>
            </w:r>
            <w:r w:rsidRPr="00C6349F">
              <w:rPr>
                <w:color w:val="auto"/>
              </w:rPr>
              <w:t>523,94</w:t>
            </w:r>
          </w:p>
        </w:tc>
        <w:tc>
          <w:tcPr>
            <w:tcW w:w="1418" w:type="dxa"/>
            <w:shd w:val="clear" w:color="auto" w:fill="auto"/>
          </w:tcPr>
          <w:p w14:paraId="2DC16676" w14:textId="6A1D0CA4" w:rsidR="00AE438D" w:rsidRPr="00C6349F" w:rsidRDefault="00AE438D" w:rsidP="00A22D44">
            <w:pPr>
              <w:rPr>
                <w:color w:val="auto"/>
              </w:rPr>
            </w:pPr>
            <w:r w:rsidRPr="00C6349F">
              <w:rPr>
                <w:color w:val="auto"/>
              </w:rPr>
              <w:t xml:space="preserve">€ </w:t>
            </w:r>
            <w:r w:rsidRPr="00C6349F">
              <w:rPr>
                <w:color w:val="auto"/>
              </w:rPr>
              <w:t>6287,28</w:t>
            </w:r>
          </w:p>
        </w:tc>
      </w:tr>
      <w:tr w:rsidR="00AE438D" w:rsidRPr="00C6349F" w14:paraId="17E7D6FB" w14:textId="77777777" w:rsidTr="00A22D44">
        <w:tc>
          <w:tcPr>
            <w:tcW w:w="1242" w:type="dxa"/>
            <w:shd w:val="clear" w:color="auto" w:fill="auto"/>
          </w:tcPr>
          <w:p w14:paraId="49ADF0EC" w14:textId="77777777" w:rsidR="00AE438D" w:rsidRPr="00C6349F" w:rsidRDefault="00AE438D" w:rsidP="00A22D44">
            <w:pPr>
              <w:jc w:val="center"/>
              <w:rPr>
                <w:color w:val="auto"/>
              </w:rPr>
            </w:pPr>
            <w:r w:rsidRPr="00C6349F">
              <w:rPr>
                <w:color w:val="auto"/>
              </w:rPr>
              <w:t xml:space="preserve">    2 los</w:t>
            </w:r>
          </w:p>
        </w:tc>
        <w:tc>
          <w:tcPr>
            <w:tcW w:w="1505" w:type="dxa"/>
            <w:shd w:val="clear" w:color="auto" w:fill="auto"/>
            <w:vAlign w:val="center"/>
          </w:tcPr>
          <w:p w14:paraId="31006062" w14:textId="77777777" w:rsidR="00AE438D" w:rsidRPr="00C6349F" w:rsidRDefault="00AE438D" w:rsidP="00A22D44">
            <w:pPr>
              <w:rPr>
                <w:color w:val="auto"/>
              </w:rPr>
            </w:pPr>
            <w:r w:rsidRPr="00C6349F">
              <w:rPr>
                <w:color w:val="auto"/>
              </w:rPr>
              <w:t>12</w:t>
            </w:r>
          </w:p>
        </w:tc>
        <w:tc>
          <w:tcPr>
            <w:tcW w:w="1330" w:type="dxa"/>
            <w:shd w:val="clear" w:color="auto" w:fill="auto"/>
          </w:tcPr>
          <w:p w14:paraId="767E507D" w14:textId="77777777" w:rsidR="00AE438D" w:rsidRPr="00C6349F" w:rsidRDefault="00AE438D" w:rsidP="00A22D44">
            <w:pPr>
              <w:jc w:val="both"/>
              <w:rPr>
                <w:color w:val="auto"/>
              </w:rPr>
            </w:pPr>
            <w:r w:rsidRPr="00C6349F">
              <w:rPr>
                <w:color w:val="auto"/>
              </w:rPr>
              <w:t>51</w:t>
            </w:r>
          </w:p>
        </w:tc>
        <w:tc>
          <w:tcPr>
            <w:tcW w:w="993" w:type="dxa"/>
            <w:shd w:val="clear" w:color="auto" w:fill="auto"/>
          </w:tcPr>
          <w:p w14:paraId="66E2B0C9" w14:textId="77777777" w:rsidR="00AE438D" w:rsidRPr="00C6349F" w:rsidRDefault="00AE438D" w:rsidP="00A22D44">
            <w:pPr>
              <w:rPr>
                <w:color w:val="auto"/>
              </w:rPr>
            </w:pPr>
            <w:r w:rsidRPr="00C6349F">
              <w:rPr>
                <w:color w:val="auto"/>
              </w:rPr>
              <w:t>612</w:t>
            </w:r>
          </w:p>
        </w:tc>
        <w:tc>
          <w:tcPr>
            <w:tcW w:w="1134" w:type="dxa"/>
            <w:shd w:val="clear" w:color="auto" w:fill="auto"/>
          </w:tcPr>
          <w:p w14:paraId="21A50615" w14:textId="5A9FB63F" w:rsidR="00AE438D" w:rsidRPr="00C6349F" w:rsidRDefault="00AE438D" w:rsidP="00A22D44">
            <w:pPr>
              <w:rPr>
                <w:color w:val="auto"/>
              </w:rPr>
            </w:pPr>
            <w:r w:rsidRPr="00C6349F">
              <w:rPr>
                <w:color w:val="auto"/>
              </w:rPr>
              <w:t>€ 12</w:t>
            </w:r>
            <w:r w:rsidRPr="00C6349F">
              <w:rPr>
                <w:color w:val="auto"/>
              </w:rPr>
              <w:t>8,64</w:t>
            </w:r>
          </w:p>
        </w:tc>
        <w:tc>
          <w:tcPr>
            <w:tcW w:w="1275" w:type="dxa"/>
            <w:shd w:val="clear" w:color="auto" w:fill="auto"/>
          </w:tcPr>
          <w:p w14:paraId="52E71F28" w14:textId="2285CD7D" w:rsidR="00AE438D" w:rsidRPr="00C6349F" w:rsidRDefault="00AE438D" w:rsidP="00A22D44">
            <w:pPr>
              <w:rPr>
                <w:color w:val="auto"/>
              </w:rPr>
            </w:pPr>
            <w:r w:rsidRPr="00C6349F">
              <w:rPr>
                <w:color w:val="auto"/>
              </w:rPr>
              <w:t xml:space="preserve">€ </w:t>
            </w:r>
            <w:r w:rsidRPr="00C6349F">
              <w:rPr>
                <w:color w:val="auto"/>
              </w:rPr>
              <w:t>546,72</w:t>
            </w:r>
          </w:p>
        </w:tc>
        <w:tc>
          <w:tcPr>
            <w:tcW w:w="1418" w:type="dxa"/>
            <w:shd w:val="clear" w:color="auto" w:fill="auto"/>
          </w:tcPr>
          <w:p w14:paraId="07A31EF8" w14:textId="7B7776F9" w:rsidR="00AE438D" w:rsidRPr="00C6349F" w:rsidRDefault="00AE438D" w:rsidP="00A22D44">
            <w:pPr>
              <w:rPr>
                <w:color w:val="auto"/>
              </w:rPr>
            </w:pPr>
            <w:r w:rsidRPr="00C6349F">
              <w:rPr>
                <w:color w:val="auto"/>
              </w:rPr>
              <w:t>€ 6</w:t>
            </w:r>
            <w:r w:rsidRPr="00C6349F">
              <w:rPr>
                <w:color w:val="auto"/>
              </w:rPr>
              <w:t>560,64</w:t>
            </w:r>
          </w:p>
        </w:tc>
      </w:tr>
      <w:tr w:rsidR="00AE438D" w:rsidRPr="00C6349F" w14:paraId="558E70E2" w14:textId="77777777" w:rsidTr="00A22D44">
        <w:tc>
          <w:tcPr>
            <w:tcW w:w="1242" w:type="dxa"/>
            <w:shd w:val="clear" w:color="auto" w:fill="auto"/>
          </w:tcPr>
          <w:p w14:paraId="342F0837" w14:textId="77777777" w:rsidR="00AE438D" w:rsidRPr="00C6349F" w:rsidRDefault="00AE438D" w:rsidP="00A22D44">
            <w:pPr>
              <w:jc w:val="center"/>
              <w:rPr>
                <w:color w:val="auto"/>
              </w:rPr>
            </w:pPr>
            <w:r w:rsidRPr="00C6349F">
              <w:rPr>
                <w:color w:val="auto"/>
              </w:rPr>
              <w:t>3</w:t>
            </w:r>
          </w:p>
        </w:tc>
        <w:tc>
          <w:tcPr>
            <w:tcW w:w="1505" w:type="dxa"/>
            <w:shd w:val="clear" w:color="auto" w:fill="auto"/>
            <w:vAlign w:val="center"/>
          </w:tcPr>
          <w:p w14:paraId="0B5B0631" w14:textId="77777777" w:rsidR="00AE438D" w:rsidRPr="00C6349F" w:rsidRDefault="00AE438D" w:rsidP="00A22D44">
            <w:pPr>
              <w:rPr>
                <w:color w:val="auto"/>
              </w:rPr>
            </w:pPr>
            <w:r w:rsidRPr="00C6349F">
              <w:rPr>
                <w:color w:val="auto"/>
              </w:rPr>
              <w:t>17,5</w:t>
            </w:r>
          </w:p>
        </w:tc>
        <w:tc>
          <w:tcPr>
            <w:tcW w:w="1330" w:type="dxa"/>
            <w:shd w:val="clear" w:color="auto" w:fill="auto"/>
          </w:tcPr>
          <w:p w14:paraId="3E0941F8" w14:textId="77777777" w:rsidR="00AE438D" w:rsidRPr="00C6349F" w:rsidRDefault="00AE438D" w:rsidP="00A22D44">
            <w:pPr>
              <w:jc w:val="both"/>
              <w:rPr>
                <w:color w:val="auto"/>
              </w:rPr>
            </w:pPr>
            <w:r w:rsidRPr="00C6349F">
              <w:rPr>
                <w:color w:val="auto"/>
              </w:rPr>
              <w:t>74,38</w:t>
            </w:r>
          </w:p>
        </w:tc>
        <w:tc>
          <w:tcPr>
            <w:tcW w:w="993" w:type="dxa"/>
            <w:shd w:val="clear" w:color="auto" w:fill="auto"/>
          </w:tcPr>
          <w:p w14:paraId="04349B78" w14:textId="77777777" w:rsidR="00AE438D" w:rsidRPr="00C6349F" w:rsidRDefault="00AE438D" w:rsidP="00A22D44">
            <w:pPr>
              <w:rPr>
                <w:color w:val="auto"/>
              </w:rPr>
            </w:pPr>
            <w:r w:rsidRPr="00C6349F">
              <w:rPr>
                <w:color w:val="auto"/>
              </w:rPr>
              <w:t>892,5</w:t>
            </w:r>
          </w:p>
        </w:tc>
        <w:tc>
          <w:tcPr>
            <w:tcW w:w="1134" w:type="dxa"/>
            <w:shd w:val="clear" w:color="auto" w:fill="auto"/>
          </w:tcPr>
          <w:p w14:paraId="713CEBEF" w14:textId="30ED59F0" w:rsidR="00AE438D" w:rsidRPr="00C6349F" w:rsidRDefault="00AE438D" w:rsidP="00A22D44">
            <w:pPr>
              <w:rPr>
                <w:color w:val="auto"/>
              </w:rPr>
            </w:pPr>
            <w:r w:rsidRPr="00C6349F">
              <w:rPr>
                <w:color w:val="auto"/>
              </w:rPr>
              <w:t>€ 1</w:t>
            </w:r>
            <w:r w:rsidRPr="00C6349F">
              <w:rPr>
                <w:color w:val="auto"/>
              </w:rPr>
              <w:t>87,60</w:t>
            </w:r>
          </w:p>
        </w:tc>
        <w:tc>
          <w:tcPr>
            <w:tcW w:w="1275" w:type="dxa"/>
            <w:shd w:val="clear" w:color="auto" w:fill="auto"/>
          </w:tcPr>
          <w:p w14:paraId="49342982" w14:textId="2A9A225B" w:rsidR="00AE438D" w:rsidRPr="00C6349F" w:rsidRDefault="00AE438D" w:rsidP="00A22D44">
            <w:pPr>
              <w:rPr>
                <w:color w:val="auto"/>
              </w:rPr>
            </w:pPr>
            <w:r w:rsidRPr="00C6349F">
              <w:rPr>
                <w:color w:val="auto"/>
              </w:rPr>
              <w:t>€ 7</w:t>
            </w:r>
            <w:r w:rsidRPr="00C6349F">
              <w:rPr>
                <w:color w:val="auto"/>
              </w:rPr>
              <w:t>97,30</w:t>
            </w:r>
          </w:p>
        </w:tc>
        <w:tc>
          <w:tcPr>
            <w:tcW w:w="1418" w:type="dxa"/>
            <w:shd w:val="clear" w:color="auto" w:fill="auto"/>
          </w:tcPr>
          <w:p w14:paraId="71293977" w14:textId="2A868A07" w:rsidR="00AE438D" w:rsidRPr="00C6349F" w:rsidRDefault="00AE438D" w:rsidP="00A22D44">
            <w:pPr>
              <w:rPr>
                <w:color w:val="auto"/>
              </w:rPr>
            </w:pPr>
            <w:r w:rsidRPr="00C6349F">
              <w:rPr>
                <w:color w:val="auto"/>
              </w:rPr>
              <w:t xml:space="preserve">€ </w:t>
            </w:r>
            <w:r w:rsidRPr="00C6349F">
              <w:rPr>
                <w:color w:val="auto"/>
              </w:rPr>
              <w:t>9567,60</w:t>
            </w:r>
          </w:p>
        </w:tc>
      </w:tr>
      <w:tr w:rsidR="00AE438D" w:rsidRPr="00C6349F" w14:paraId="23BC26EA" w14:textId="77777777" w:rsidTr="00A22D44">
        <w:tc>
          <w:tcPr>
            <w:tcW w:w="1242" w:type="dxa"/>
            <w:shd w:val="clear" w:color="auto" w:fill="auto"/>
          </w:tcPr>
          <w:p w14:paraId="548D623F" w14:textId="77777777" w:rsidR="00AE438D" w:rsidRPr="00C6349F" w:rsidRDefault="00AE438D" w:rsidP="00A22D44">
            <w:pPr>
              <w:jc w:val="center"/>
              <w:rPr>
                <w:color w:val="auto"/>
              </w:rPr>
            </w:pPr>
            <w:r w:rsidRPr="00C6349F">
              <w:rPr>
                <w:color w:val="auto"/>
              </w:rPr>
              <w:t>4</w:t>
            </w:r>
          </w:p>
        </w:tc>
        <w:tc>
          <w:tcPr>
            <w:tcW w:w="1505" w:type="dxa"/>
            <w:shd w:val="clear" w:color="auto" w:fill="auto"/>
            <w:vAlign w:val="center"/>
          </w:tcPr>
          <w:p w14:paraId="4EFEE40D" w14:textId="77777777" w:rsidR="00AE438D" w:rsidRPr="00C6349F" w:rsidRDefault="00AE438D" w:rsidP="00A22D44">
            <w:pPr>
              <w:rPr>
                <w:color w:val="auto"/>
              </w:rPr>
            </w:pPr>
            <w:r w:rsidRPr="00C6349F">
              <w:rPr>
                <w:color w:val="auto"/>
              </w:rPr>
              <w:t>23</w:t>
            </w:r>
          </w:p>
        </w:tc>
        <w:tc>
          <w:tcPr>
            <w:tcW w:w="1330" w:type="dxa"/>
            <w:shd w:val="clear" w:color="auto" w:fill="auto"/>
          </w:tcPr>
          <w:p w14:paraId="237FA668" w14:textId="77777777" w:rsidR="00AE438D" w:rsidRPr="00C6349F" w:rsidRDefault="00AE438D" w:rsidP="00A22D44">
            <w:pPr>
              <w:jc w:val="both"/>
              <w:rPr>
                <w:color w:val="auto"/>
              </w:rPr>
            </w:pPr>
            <w:r w:rsidRPr="00C6349F">
              <w:rPr>
                <w:color w:val="auto"/>
              </w:rPr>
              <w:t>97,75</w:t>
            </w:r>
          </w:p>
        </w:tc>
        <w:tc>
          <w:tcPr>
            <w:tcW w:w="993" w:type="dxa"/>
            <w:shd w:val="clear" w:color="auto" w:fill="auto"/>
          </w:tcPr>
          <w:p w14:paraId="731FBBE5" w14:textId="77777777" w:rsidR="00AE438D" w:rsidRPr="00C6349F" w:rsidRDefault="00AE438D" w:rsidP="00A22D44">
            <w:pPr>
              <w:rPr>
                <w:color w:val="auto"/>
              </w:rPr>
            </w:pPr>
            <w:r w:rsidRPr="00C6349F">
              <w:rPr>
                <w:color w:val="auto"/>
              </w:rPr>
              <w:t>1173</w:t>
            </w:r>
          </w:p>
        </w:tc>
        <w:tc>
          <w:tcPr>
            <w:tcW w:w="1134" w:type="dxa"/>
            <w:shd w:val="clear" w:color="auto" w:fill="auto"/>
          </w:tcPr>
          <w:p w14:paraId="23783169" w14:textId="33F4873C" w:rsidR="00AE438D" w:rsidRPr="00C6349F" w:rsidRDefault="00AE438D" w:rsidP="00A22D44">
            <w:pPr>
              <w:rPr>
                <w:color w:val="auto"/>
              </w:rPr>
            </w:pPr>
            <w:r w:rsidRPr="00C6349F">
              <w:rPr>
                <w:color w:val="auto"/>
              </w:rPr>
              <w:t xml:space="preserve">€ </w:t>
            </w:r>
            <w:r w:rsidRPr="00C6349F">
              <w:rPr>
                <w:color w:val="auto"/>
              </w:rPr>
              <w:t>246,56</w:t>
            </w:r>
          </w:p>
        </w:tc>
        <w:tc>
          <w:tcPr>
            <w:tcW w:w="1275" w:type="dxa"/>
            <w:shd w:val="clear" w:color="auto" w:fill="auto"/>
          </w:tcPr>
          <w:p w14:paraId="550C4E4D" w14:textId="3DB9A182" w:rsidR="00AE438D" w:rsidRPr="00C6349F" w:rsidRDefault="00AE438D" w:rsidP="00A22D44">
            <w:pPr>
              <w:rPr>
                <w:color w:val="auto"/>
              </w:rPr>
            </w:pPr>
            <w:r w:rsidRPr="00C6349F">
              <w:rPr>
                <w:color w:val="auto"/>
              </w:rPr>
              <w:t xml:space="preserve">€ </w:t>
            </w:r>
            <w:r w:rsidRPr="00C6349F">
              <w:rPr>
                <w:color w:val="auto"/>
              </w:rPr>
              <w:t>1047,88</w:t>
            </w:r>
          </w:p>
        </w:tc>
        <w:tc>
          <w:tcPr>
            <w:tcW w:w="1418" w:type="dxa"/>
            <w:shd w:val="clear" w:color="auto" w:fill="auto"/>
          </w:tcPr>
          <w:p w14:paraId="5424D2E9" w14:textId="720A05EE" w:rsidR="00AE438D" w:rsidRPr="00C6349F" w:rsidRDefault="00AE438D" w:rsidP="00A22D44">
            <w:pPr>
              <w:rPr>
                <w:color w:val="auto"/>
              </w:rPr>
            </w:pPr>
            <w:r w:rsidRPr="00C6349F">
              <w:rPr>
                <w:color w:val="auto"/>
              </w:rPr>
              <w:t xml:space="preserve">€ </w:t>
            </w:r>
            <w:r w:rsidRPr="00C6349F">
              <w:rPr>
                <w:color w:val="auto"/>
              </w:rPr>
              <w:t>12574,56</w:t>
            </w:r>
          </w:p>
        </w:tc>
      </w:tr>
      <w:tr w:rsidR="00AE438D" w:rsidRPr="00C6349F" w14:paraId="26F12281" w14:textId="77777777" w:rsidTr="00A22D44">
        <w:tc>
          <w:tcPr>
            <w:tcW w:w="1242" w:type="dxa"/>
            <w:shd w:val="clear" w:color="auto" w:fill="auto"/>
          </w:tcPr>
          <w:p w14:paraId="042D9290" w14:textId="77777777" w:rsidR="00AE438D" w:rsidRPr="00C6349F" w:rsidRDefault="00AE438D" w:rsidP="00A22D44">
            <w:pPr>
              <w:jc w:val="center"/>
              <w:rPr>
                <w:color w:val="auto"/>
              </w:rPr>
            </w:pPr>
            <w:r w:rsidRPr="00C6349F">
              <w:rPr>
                <w:color w:val="auto"/>
              </w:rPr>
              <w:t>5</w:t>
            </w:r>
          </w:p>
        </w:tc>
        <w:tc>
          <w:tcPr>
            <w:tcW w:w="1505" w:type="dxa"/>
            <w:shd w:val="clear" w:color="auto" w:fill="auto"/>
            <w:vAlign w:val="center"/>
          </w:tcPr>
          <w:p w14:paraId="635C5096" w14:textId="77777777" w:rsidR="00AE438D" w:rsidRPr="00C6349F" w:rsidRDefault="00AE438D" w:rsidP="00A22D44">
            <w:pPr>
              <w:rPr>
                <w:color w:val="auto"/>
              </w:rPr>
            </w:pPr>
            <w:r w:rsidRPr="00C6349F">
              <w:rPr>
                <w:color w:val="auto"/>
              </w:rPr>
              <w:t>29</w:t>
            </w:r>
          </w:p>
        </w:tc>
        <w:tc>
          <w:tcPr>
            <w:tcW w:w="1330" w:type="dxa"/>
            <w:shd w:val="clear" w:color="auto" w:fill="auto"/>
          </w:tcPr>
          <w:p w14:paraId="678C861F" w14:textId="77777777" w:rsidR="00AE438D" w:rsidRPr="00C6349F" w:rsidRDefault="00AE438D" w:rsidP="00A22D44">
            <w:pPr>
              <w:jc w:val="both"/>
              <w:rPr>
                <w:color w:val="auto"/>
              </w:rPr>
            </w:pPr>
            <w:r w:rsidRPr="00C6349F">
              <w:rPr>
                <w:color w:val="auto"/>
              </w:rPr>
              <w:t>123,25</w:t>
            </w:r>
          </w:p>
        </w:tc>
        <w:tc>
          <w:tcPr>
            <w:tcW w:w="993" w:type="dxa"/>
            <w:shd w:val="clear" w:color="auto" w:fill="auto"/>
          </w:tcPr>
          <w:p w14:paraId="1502483A" w14:textId="77777777" w:rsidR="00AE438D" w:rsidRPr="00C6349F" w:rsidRDefault="00AE438D" w:rsidP="00A22D44">
            <w:pPr>
              <w:rPr>
                <w:color w:val="auto"/>
              </w:rPr>
            </w:pPr>
            <w:r w:rsidRPr="00C6349F">
              <w:rPr>
                <w:color w:val="auto"/>
              </w:rPr>
              <w:t>1479</w:t>
            </w:r>
          </w:p>
        </w:tc>
        <w:tc>
          <w:tcPr>
            <w:tcW w:w="1134" w:type="dxa"/>
            <w:shd w:val="clear" w:color="auto" w:fill="auto"/>
          </w:tcPr>
          <w:p w14:paraId="1399A14E" w14:textId="2351148B" w:rsidR="00AE438D" w:rsidRPr="00C6349F" w:rsidRDefault="00AE438D" w:rsidP="00A22D44">
            <w:pPr>
              <w:rPr>
                <w:color w:val="auto"/>
              </w:rPr>
            </w:pPr>
            <w:r w:rsidRPr="00C6349F">
              <w:rPr>
                <w:color w:val="auto"/>
              </w:rPr>
              <w:t xml:space="preserve">€ </w:t>
            </w:r>
            <w:r w:rsidRPr="00C6349F">
              <w:rPr>
                <w:color w:val="auto"/>
              </w:rPr>
              <w:t>310,88</w:t>
            </w:r>
          </w:p>
        </w:tc>
        <w:tc>
          <w:tcPr>
            <w:tcW w:w="1275" w:type="dxa"/>
            <w:shd w:val="clear" w:color="auto" w:fill="auto"/>
          </w:tcPr>
          <w:p w14:paraId="07CDE4B6" w14:textId="022E8BDC" w:rsidR="00AE438D" w:rsidRPr="00C6349F" w:rsidRDefault="00AE438D" w:rsidP="00A22D44">
            <w:pPr>
              <w:rPr>
                <w:color w:val="auto"/>
              </w:rPr>
            </w:pPr>
            <w:r w:rsidRPr="00C6349F">
              <w:rPr>
                <w:color w:val="auto"/>
              </w:rPr>
              <w:t xml:space="preserve">€ </w:t>
            </w:r>
            <w:r w:rsidRPr="00C6349F">
              <w:rPr>
                <w:color w:val="auto"/>
              </w:rPr>
              <w:t>1321,24</w:t>
            </w:r>
          </w:p>
        </w:tc>
        <w:tc>
          <w:tcPr>
            <w:tcW w:w="1418" w:type="dxa"/>
            <w:shd w:val="clear" w:color="auto" w:fill="auto"/>
          </w:tcPr>
          <w:p w14:paraId="00CBD683" w14:textId="2CEE95D4" w:rsidR="00AE438D" w:rsidRPr="00C6349F" w:rsidRDefault="00AE438D" w:rsidP="00A22D44">
            <w:pPr>
              <w:rPr>
                <w:color w:val="auto"/>
              </w:rPr>
            </w:pPr>
            <w:r w:rsidRPr="00C6349F">
              <w:rPr>
                <w:color w:val="auto"/>
              </w:rPr>
              <w:t xml:space="preserve">€ </w:t>
            </w:r>
            <w:r w:rsidRPr="00C6349F">
              <w:rPr>
                <w:color w:val="auto"/>
              </w:rPr>
              <w:t>15854,88</w:t>
            </w:r>
          </w:p>
        </w:tc>
      </w:tr>
      <w:tr w:rsidR="00AE438D" w:rsidRPr="00C6349F" w14:paraId="3436073C" w14:textId="77777777" w:rsidTr="00A22D44">
        <w:tc>
          <w:tcPr>
            <w:tcW w:w="1242" w:type="dxa"/>
            <w:shd w:val="clear" w:color="auto" w:fill="auto"/>
          </w:tcPr>
          <w:p w14:paraId="0BC56A36" w14:textId="77777777" w:rsidR="00AE438D" w:rsidRPr="00C6349F" w:rsidRDefault="00AE438D" w:rsidP="00A22D44">
            <w:pPr>
              <w:jc w:val="center"/>
              <w:rPr>
                <w:color w:val="auto"/>
              </w:rPr>
            </w:pPr>
            <w:r w:rsidRPr="00C6349F">
              <w:rPr>
                <w:color w:val="auto"/>
              </w:rPr>
              <w:t>6</w:t>
            </w:r>
          </w:p>
        </w:tc>
        <w:tc>
          <w:tcPr>
            <w:tcW w:w="1505" w:type="dxa"/>
            <w:shd w:val="clear" w:color="auto" w:fill="auto"/>
            <w:vAlign w:val="center"/>
          </w:tcPr>
          <w:p w14:paraId="2F885333" w14:textId="77777777" w:rsidR="00AE438D" w:rsidRPr="00C6349F" w:rsidRDefault="00AE438D" w:rsidP="00A22D44">
            <w:pPr>
              <w:rPr>
                <w:color w:val="auto"/>
              </w:rPr>
            </w:pPr>
            <w:r w:rsidRPr="00C6349F">
              <w:rPr>
                <w:color w:val="auto"/>
              </w:rPr>
              <w:t>34,5</w:t>
            </w:r>
          </w:p>
        </w:tc>
        <w:tc>
          <w:tcPr>
            <w:tcW w:w="1330" w:type="dxa"/>
            <w:shd w:val="clear" w:color="auto" w:fill="auto"/>
          </w:tcPr>
          <w:p w14:paraId="1BECA8DA" w14:textId="77777777" w:rsidR="00AE438D" w:rsidRPr="00C6349F" w:rsidRDefault="00AE438D" w:rsidP="00A22D44">
            <w:pPr>
              <w:jc w:val="both"/>
              <w:rPr>
                <w:color w:val="auto"/>
              </w:rPr>
            </w:pPr>
            <w:r w:rsidRPr="00C6349F">
              <w:rPr>
                <w:color w:val="auto"/>
              </w:rPr>
              <w:t>146,63</w:t>
            </w:r>
          </w:p>
        </w:tc>
        <w:tc>
          <w:tcPr>
            <w:tcW w:w="993" w:type="dxa"/>
            <w:shd w:val="clear" w:color="auto" w:fill="auto"/>
          </w:tcPr>
          <w:p w14:paraId="611682CE" w14:textId="77777777" w:rsidR="00AE438D" w:rsidRPr="00C6349F" w:rsidRDefault="00AE438D" w:rsidP="00A22D44">
            <w:pPr>
              <w:rPr>
                <w:color w:val="auto"/>
              </w:rPr>
            </w:pPr>
            <w:r w:rsidRPr="00C6349F">
              <w:rPr>
                <w:color w:val="auto"/>
              </w:rPr>
              <w:t>1759,5</w:t>
            </w:r>
          </w:p>
        </w:tc>
        <w:tc>
          <w:tcPr>
            <w:tcW w:w="1134" w:type="dxa"/>
            <w:shd w:val="clear" w:color="auto" w:fill="auto"/>
          </w:tcPr>
          <w:p w14:paraId="37A50598" w14:textId="2FF6D024" w:rsidR="00AE438D" w:rsidRPr="00C6349F" w:rsidRDefault="00AE438D" w:rsidP="00A22D44">
            <w:pPr>
              <w:rPr>
                <w:color w:val="auto"/>
              </w:rPr>
            </w:pPr>
            <w:r w:rsidRPr="00C6349F">
              <w:rPr>
                <w:color w:val="auto"/>
              </w:rPr>
              <w:t xml:space="preserve">€ </w:t>
            </w:r>
            <w:r w:rsidRPr="00C6349F">
              <w:rPr>
                <w:color w:val="auto"/>
              </w:rPr>
              <w:t>369,84</w:t>
            </w:r>
          </w:p>
        </w:tc>
        <w:tc>
          <w:tcPr>
            <w:tcW w:w="1275" w:type="dxa"/>
            <w:shd w:val="clear" w:color="auto" w:fill="auto"/>
          </w:tcPr>
          <w:p w14:paraId="50D477D4" w14:textId="3F624B7F" w:rsidR="00AE438D" w:rsidRPr="00C6349F" w:rsidRDefault="00AE438D" w:rsidP="00A22D44">
            <w:pPr>
              <w:rPr>
                <w:color w:val="auto"/>
              </w:rPr>
            </w:pPr>
            <w:r w:rsidRPr="00C6349F">
              <w:rPr>
                <w:color w:val="auto"/>
              </w:rPr>
              <w:t xml:space="preserve">€ </w:t>
            </w:r>
            <w:r w:rsidRPr="00C6349F">
              <w:rPr>
                <w:color w:val="auto"/>
              </w:rPr>
              <w:t>1571,82</w:t>
            </w:r>
          </w:p>
        </w:tc>
        <w:tc>
          <w:tcPr>
            <w:tcW w:w="1418" w:type="dxa"/>
            <w:shd w:val="clear" w:color="auto" w:fill="auto"/>
          </w:tcPr>
          <w:p w14:paraId="0205D12B" w14:textId="5D2C0A71" w:rsidR="00AE438D" w:rsidRPr="00C6349F" w:rsidRDefault="00AE438D" w:rsidP="00A22D44">
            <w:pPr>
              <w:rPr>
                <w:color w:val="auto"/>
              </w:rPr>
            </w:pPr>
            <w:r w:rsidRPr="00C6349F">
              <w:rPr>
                <w:color w:val="auto"/>
              </w:rPr>
              <w:t xml:space="preserve">€ </w:t>
            </w:r>
            <w:r w:rsidRPr="00C6349F">
              <w:rPr>
                <w:color w:val="auto"/>
              </w:rPr>
              <w:t>18861,84</w:t>
            </w:r>
          </w:p>
        </w:tc>
      </w:tr>
      <w:tr w:rsidR="00AE438D" w:rsidRPr="00C6349F" w14:paraId="02469059" w14:textId="77777777" w:rsidTr="00A22D44">
        <w:tc>
          <w:tcPr>
            <w:tcW w:w="1242" w:type="dxa"/>
            <w:shd w:val="clear" w:color="auto" w:fill="auto"/>
          </w:tcPr>
          <w:p w14:paraId="17C04D83" w14:textId="77777777" w:rsidR="00AE438D" w:rsidRPr="00C6349F" w:rsidRDefault="00AE438D" w:rsidP="00A22D44">
            <w:pPr>
              <w:jc w:val="center"/>
              <w:rPr>
                <w:color w:val="auto"/>
              </w:rPr>
            </w:pPr>
            <w:r w:rsidRPr="00C6349F">
              <w:rPr>
                <w:color w:val="auto"/>
              </w:rPr>
              <w:t>7</w:t>
            </w:r>
          </w:p>
        </w:tc>
        <w:tc>
          <w:tcPr>
            <w:tcW w:w="1505" w:type="dxa"/>
            <w:shd w:val="clear" w:color="auto" w:fill="auto"/>
            <w:vAlign w:val="center"/>
          </w:tcPr>
          <w:p w14:paraId="476A545C" w14:textId="77777777" w:rsidR="00AE438D" w:rsidRPr="00C6349F" w:rsidRDefault="00AE438D" w:rsidP="00A22D44">
            <w:pPr>
              <w:rPr>
                <w:color w:val="auto"/>
              </w:rPr>
            </w:pPr>
            <w:r w:rsidRPr="00C6349F">
              <w:rPr>
                <w:color w:val="auto"/>
              </w:rPr>
              <w:t>40,5</w:t>
            </w:r>
          </w:p>
        </w:tc>
        <w:tc>
          <w:tcPr>
            <w:tcW w:w="1330" w:type="dxa"/>
            <w:shd w:val="clear" w:color="auto" w:fill="auto"/>
          </w:tcPr>
          <w:p w14:paraId="553328FC" w14:textId="77777777" w:rsidR="00AE438D" w:rsidRPr="00C6349F" w:rsidRDefault="00AE438D" w:rsidP="00A22D44">
            <w:pPr>
              <w:jc w:val="both"/>
              <w:rPr>
                <w:color w:val="auto"/>
              </w:rPr>
            </w:pPr>
            <w:r w:rsidRPr="00C6349F">
              <w:rPr>
                <w:color w:val="auto"/>
              </w:rPr>
              <w:t>172,13</w:t>
            </w:r>
          </w:p>
        </w:tc>
        <w:tc>
          <w:tcPr>
            <w:tcW w:w="993" w:type="dxa"/>
            <w:shd w:val="clear" w:color="auto" w:fill="auto"/>
          </w:tcPr>
          <w:p w14:paraId="26B8240A" w14:textId="77777777" w:rsidR="00AE438D" w:rsidRPr="00C6349F" w:rsidRDefault="00AE438D" w:rsidP="00A22D44">
            <w:pPr>
              <w:rPr>
                <w:color w:val="auto"/>
              </w:rPr>
            </w:pPr>
            <w:r w:rsidRPr="00C6349F">
              <w:rPr>
                <w:color w:val="auto"/>
              </w:rPr>
              <w:t>2065,5</w:t>
            </w:r>
          </w:p>
        </w:tc>
        <w:tc>
          <w:tcPr>
            <w:tcW w:w="1134" w:type="dxa"/>
            <w:shd w:val="clear" w:color="auto" w:fill="auto"/>
          </w:tcPr>
          <w:p w14:paraId="014B5AF8" w14:textId="5E4BB053" w:rsidR="00AE438D" w:rsidRPr="00C6349F" w:rsidRDefault="00AE438D" w:rsidP="00A22D44">
            <w:pPr>
              <w:rPr>
                <w:color w:val="auto"/>
              </w:rPr>
            </w:pPr>
            <w:r w:rsidRPr="00C6349F">
              <w:rPr>
                <w:color w:val="auto"/>
              </w:rPr>
              <w:t xml:space="preserve">€ </w:t>
            </w:r>
            <w:r w:rsidRPr="00C6349F">
              <w:rPr>
                <w:color w:val="auto"/>
              </w:rPr>
              <w:t>434,16</w:t>
            </w:r>
          </w:p>
        </w:tc>
        <w:tc>
          <w:tcPr>
            <w:tcW w:w="1275" w:type="dxa"/>
            <w:shd w:val="clear" w:color="auto" w:fill="auto"/>
          </w:tcPr>
          <w:p w14:paraId="42ED8C93" w14:textId="733DFBC5" w:rsidR="00AE438D" w:rsidRPr="00C6349F" w:rsidRDefault="00AE438D" w:rsidP="00A22D44">
            <w:pPr>
              <w:rPr>
                <w:color w:val="auto"/>
              </w:rPr>
            </w:pPr>
            <w:r w:rsidRPr="00C6349F">
              <w:rPr>
                <w:color w:val="auto"/>
              </w:rPr>
              <w:t xml:space="preserve">€ </w:t>
            </w:r>
            <w:r w:rsidRPr="00C6349F">
              <w:rPr>
                <w:color w:val="auto"/>
              </w:rPr>
              <w:t>1845,18</w:t>
            </w:r>
          </w:p>
        </w:tc>
        <w:tc>
          <w:tcPr>
            <w:tcW w:w="1418" w:type="dxa"/>
            <w:shd w:val="clear" w:color="auto" w:fill="auto"/>
          </w:tcPr>
          <w:p w14:paraId="2E36AAE3" w14:textId="422B5001" w:rsidR="00AE438D" w:rsidRPr="00C6349F" w:rsidRDefault="00AE438D" w:rsidP="00A22D44">
            <w:pPr>
              <w:rPr>
                <w:color w:val="auto"/>
              </w:rPr>
            </w:pPr>
            <w:r w:rsidRPr="00C6349F">
              <w:rPr>
                <w:color w:val="auto"/>
              </w:rPr>
              <w:t xml:space="preserve">€ </w:t>
            </w:r>
            <w:r w:rsidRPr="00C6349F">
              <w:rPr>
                <w:color w:val="auto"/>
              </w:rPr>
              <w:t>22142,16</w:t>
            </w:r>
          </w:p>
        </w:tc>
      </w:tr>
      <w:tr w:rsidR="00AE438D" w:rsidRPr="00C6349F" w14:paraId="2E2C6ED2" w14:textId="77777777" w:rsidTr="00A22D44">
        <w:tc>
          <w:tcPr>
            <w:tcW w:w="1242" w:type="dxa"/>
            <w:shd w:val="clear" w:color="auto" w:fill="auto"/>
          </w:tcPr>
          <w:p w14:paraId="681C5D8D" w14:textId="77777777" w:rsidR="00AE438D" w:rsidRPr="00C6349F" w:rsidRDefault="00AE438D" w:rsidP="00A22D44">
            <w:pPr>
              <w:jc w:val="center"/>
              <w:rPr>
                <w:color w:val="auto"/>
              </w:rPr>
            </w:pPr>
            <w:r w:rsidRPr="00C6349F">
              <w:rPr>
                <w:color w:val="auto"/>
              </w:rPr>
              <w:t>8</w:t>
            </w:r>
          </w:p>
        </w:tc>
        <w:tc>
          <w:tcPr>
            <w:tcW w:w="1505" w:type="dxa"/>
            <w:shd w:val="clear" w:color="auto" w:fill="auto"/>
            <w:vAlign w:val="center"/>
          </w:tcPr>
          <w:p w14:paraId="233DE569" w14:textId="77777777" w:rsidR="00AE438D" w:rsidRPr="00C6349F" w:rsidRDefault="00AE438D" w:rsidP="00A22D44">
            <w:pPr>
              <w:rPr>
                <w:color w:val="auto"/>
              </w:rPr>
            </w:pPr>
            <w:r w:rsidRPr="00C6349F">
              <w:rPr>
                <w:color w:val="auto"/>
              </w:rPr>
              <w:t>46</w:t>
            </w:r>
          </w:p>
        </w:tc>
        <w:tc>
          <w:tcPr>
            <w:tcW w:w="1330" w:type="dxa"/>
            <w:shd w:val="clear" w:color="auto" w:fill="auto"/>
          </w:tcPr>
          <w:p w14:paraId="1896A8F1" w14:textId="77777777" w:rsidR="00AE438D" w:rsidRPr="00C6349F" w:rsidRDefault="00AE438D" w:rsidP="00A22D44">
            <w:pPr>
              <w:rPr>
                <w:color w:val="auto"/>
              </w:rPr>
            </w:pPr>
            <w:r w:rsidRPr="00C6349F">
              <w:rPr>
                <w:color w:val="auto"/>
              </w:rPr>
              <w:t>195,5</w:t>
            </w:r>
          </w:p>
        </w:tc>
        <w:tc>
          <w:tcPr>
            <w:tcW w:w="993" w:type="dxa"/>
            <w:shd w:val="clear" w:color="auto" w:fill="auto"/>
          </w:tcPr>
          <w:p w14:paraId="66DBD714" w14:textId="77777777" w:rsidR="00AE438D" w:rsidRPr="00C6349F" w:rsidRDefault="00AE438D" w:rsidP="00A22D44">
            <w:pPr>
              <w:rPr>
                <w:color w:val="auto"/>
              </w:rPr>
            </w:pPr>
            <w:r w:rsidRPr="00C6349F">
              <w:rPr>
                <w:color w:val="auto"/>
              </w:rPr>
              <w:t>2346</w:t>
            </w:r>
          </w:p>
        </w:tc>
        <w:tc>
          <w:tcPr>
            <w:tcW w:w="1134" w:type="dxa"/>
            <w:shd w:val="clear" w:color="auto" w:fill="auto"/>
          </w:tcPr>
          <w:p w14:paraId="1AD6F694" w14:textId="5CC6EFC9" w:rsidR="00AE438D" w:rsidRPr="00C6349F" w:rsidRDefault="00AE438D" w:rsidP="00A22D44">
            <w:pPr>
              <w:rPr>
                <w:color w:val="auto"/>
              </w:rPr>
            </w:pPr>
            <w:r w:rsidRPr="00C6349F">
              <w:rPr>
                <w:color w:val="auto"/>
              </w:rPr>
              <w:t xml:space="preserve">€ </w:t>
            </w:r>
            <w:r w:rsidRPr="00C6349F">
              <w:rPr>
                <w:color w:val="auto"/>
              </w:rPr>
              <w:t>493,12</w:t>
            </w:r>
          </w:p>
        </w:tc>
        <w:tc>
          <w:tcPr>
            <w:tcW w:w="1275" w:type="dxa"/>
            <w:shd w:val="clear" w:color="auto" w:fill="auto"/>
          </w:tcPr>
          <w:p w14:paraId="43BE5D36" w14:textId="54612831" w:rsidR="00AE438D" w:rsidRPr="00C6349F" w:rsidRDefault="00AE438D" w:rsidP="00A22D44">
            <w:pPr>
              <w:rPr>
                <w:color w:val="auto"/>
              </w:rPr>
            </w:pPr>
            <w:r w:rsidRPr="00C6349F">
              <w:rPr>
                <w:color w:val="auto"/>
              </w:rPr>
              <w:t xml:space="preserve">€ </w:t>
            </w:r>
            <w:r w:rsidRPr="00C6349F">
              <w:rPr>
                <w:color w:val="auto"/>
              </w:rPr>
              <w:t>2095,76</w:t>
            </w:r>
          </w:p>
        </w:tc>
        <w:tc>
          <w:tcPr>
            <w:tcW w:w="1418" w:type="dxa"/>
            <w:shd w:val="clear" w:color="auto" w:fill="auto"/>
          </w:tcPr>
          <w:p w14:paraId="790ACB76" w14:textId="75B8509A" w:rsidR="00AE438D" w:rsidRPr="00C6349F" w:rsidRDefault="00AE438D" w:rsidP="00A22D44">
            <w:pPr>
              <w:tabs>
                <w:tab w:val="left" w:pos="1080"/>
              </w:tabs>
              <w:rPr>
                <w:color w:val="auto"/>
              </w:rPr>
            </w:pPr>
            <w:r w:rsidRPr="00C6349F">
              <w:rPr>
                <w:color w:val="auto"/>
              </w:rPr>
              <w:t xml:space="preserve">€ </w:t>
            </w:r>
            <w:r w:rsidRPr="00C6349F">
              <w:rPr>
                <w:color w:val="auto"/>
              </w:rPr>
              <w:t>25149,12</w:t>
            </w:r>
          </w:p>
        </w:tc>
      </w:tr>
      <w:tr w:rsidR="00AE438D" w:rsidRPr="00C6349F" w14:paraId="14171E69" w14:textId="77777777" w:rsidTr="00A22D44">
        <w:tc>
          <w:tcPr>
            <w:tcW w:w="1242" w:type="dxa"/>
            <w:shd w:val="clear" w:color="auto" w:fill="auto"/>
          </w:tcPr>
          <w:p w14:paraId="79A438FD" w14:textId="77777777" w:rsidR="00AE438D" w:rsidRPr="00C6349F" w:rsidRDefault="00AE438D" w:rsidP="00A22D44">
            <w:pPr>
              <w:jc w:val="center"/>
              <w:rPr>
                <w:color w:val="auto"/>
              </w:rPr>
            </w:pPr>
            <w:r w:rsidRPr="00C6349F">
              <w:rPr>
                <w:color w:val="auto"/>
              </w:rPr>
              <w:t>9</w:t>
            </w:r>
          </w:p>
        </w:tc>
        <w:tc>
          <w:tcPr>
            <w:tcW w:w="1505" w:type="dxa"/>
            <w:shd w:val="clear" w:color="auto" w:fill="auto"/>
            <w:vAlign w:val="center"/>
          </w:tcPr>
          <w:p w14:paraId="2C2B45C9" w14:textId="77777777" w:rsidR="00AE438D" w:rsidRPr="00C6349F" w:rsidRDefault="00AE438D" w:rsidP="00A22D44">
            <w:pPr>
              <w:rPr>
                <w:color w:val="auto"/>
              </w:rPr>
            </w:pPr>
            <w:r w:rsidRPr="00C6349F">
              <w:rPr>
                <w:color w:val="auto"/>
              </w:rPr>
              <w:t>52</w:t>
            </w:r>
          </w:p>
        </w:tc>
        <w:tc>
          <w:tcPr>
            <w:tcW w:w="1330" w:type="dxa"/>
            <w:shd w:val="clear" w:color="auto" w:fill="auto"/>
          </w:tcPr>
          <w:p w14:paraId="1320FDE0" w14:textId="77777777" w:rsidR="00AE438D" w:rsidRPr="00C6349F" w:rsidRDefault="00AE438D" w:rsidP="00A22D44">
            <w:pPr>
              <w:rPr>
                <w:color w:val="auto"/>
              </w:rPr>
            </w:pPr>
            <w:r w:rsidRPr="00C6349F">
              <w:rPr>
                <w:color w:val="auto"/>
              </w:rPr>
              <w:t>221</w:t>
            </w:r>
          </w:p>
        </w:tc>
        <w:tc>
          <w:tcPr>
            <w:tcW w:w="993" w:type="dxa"/>
            <w:shd w:val="clear" w:color="auto" w:fill="auto"/>
          </w:tcPr>
          <w:p w14:paraId="73B82348" w14:textId="77777777" w:rsidR="00AE438D" w:rsidRPr="00C6349F" w:rsidRDefault="00AE438D" w:rsidP="00A22D44">
            <w:pPr>
              <w:rPr>
                <w:color w:val="auto"/>
              </w:rPr>
            </w:pPr>
            <w:r w:rsidRPr="00C6349F">
              <w:rPr>
                <w:color w:val="auto"/>
              </w:rPr>
              <w:t>2652</w:t>
            </w:r>
          </w:p>
        </w:tc>
        <w:tc>
          <w:tcPr>
            <w:tcW w:w="1134" w:type="dxa"/>
            <w:shd w:val="clear" w:color="auto" w:fill="auto"/>
          </w:tcPr>
          <w:p w14:paraId="7A2E8819" w14:textId="7242CAB9" w:rsidR="00AE438D" w:rsidRPr="00C6349F" w:rsidRDefault="00AE438D" w:rsidP="00A22D44">
            <w:pPr>
              <w:rPr>
                <w:color w:val="auto"/>
              </w:rPr>
            </w:pPr>
            <w:r w:rsidRPr="00C6349F">
              <w:rPr>
                <w:color w:val="auto"/>
              </w:rPr>
              <w:t xml:space="preserve">€ </w:t>
            </w:r>
            <w:r w:rsidRPr="00C6349F">
              <w:rPr>
                <w:color w:val="auto"/>
              </w:rPr>
              <w:t>557,44</w:t>
            </w:r>
          </w:p>
        </w:tc>
        <w:tc>
          <w:tcPr>
            <w:tcW w:w="1275" w:type="dxa"/>
            <w:shd w:val="clear" w:color="auto" w:fill="auto"/>
          </w:tcPr>
          <w:p w14:paraId="66282C87" w14:textId="1E554617" w:rsidR="00AE438D" w:rsidRPr="00C6349F" w:rsidRDefault="00AE438D" w:rsidP="00A22D44">
            <w:pPr>
              <w:rPr>
                <w:color w:val="auto"/>
              </w:rPr>
            </w:pPr>
            <w:r w:rsidRPr="00C6349F">
              <w:rPr>
                <w:color w:val="auto"/>
              </w:rPr>
              <w:t xml:space="preserve">€ </w:t>
            </w:r>
            <w:r w:rsidRPr="00C6349F">
              <w:rPr>
                <w:color w:val="auto"/>
              </w:rPr>
              <w:t>2369,12</w:t>
            </w:r>
          </w:p>
        </w:tc>
        <w:tc>
          <w:tcPr>
            <w:tcW w:w="1418" w:type="dxa"/>
            <w:shd w:val="clear" w:color="auto" w:fill="auto"/>
          </w:tcPr>
          <w:p w14:paraId="2E412437" w14:textId="37114C7F" w:rsidR="00AE438D" w:rsidRPr="00C6349F" w:rsidRDefault="00AE438D" w:rsidP="00A22D44">
            <w:pPr>
              <w:rPr>
                <w:color w:val="auto"/>
              </w:rPr>
            </w:pPr>
            <w:r w:rsidRPr="00C6349F">
              <w:rPr>
                <w:color w:val="auto"/>
              </w:rPr>
              <w:t xml:space="preserve">€ </w:t>
            </w:r>
            <w:r w:rsidRPr="00C6349F">
              <w:rPr>
                <w:color w:val="auto"/>
              </w:rPr>
              <w:t>28429,44</w:t>
            </w:r>
          </w:p>
        </w:tc>
      </w:tr>
      <w:tr w:rsidR="00AE438D" w:rsidRPr="00C6349F" w14:paraId="3EA9956D" w14:textId="77777777" w:rsidTr="00A22D44">
        <w:tc>
          <w:tcPr>
            <w:tcW w:w="1242" w:type="dxa"/>
            <w:shd w:val="clear" w:color="auto" w:fill="auto"/>
          </w:tcPr>
          <w:p w14:paraId="55F6601C" w14:textId="77777777" w:rsidR="00AE438D" w:rsidRPr="00C6349F" w:rsidRDefault="00AE438D" w:rsidP="00A22D44">
            <w:pPr>
              <w:jc w:val="center"/>
              <w:rPr>
                <w:color w:val="auto"/>
              </w:rPr>
            </w:pPr>
            <w:r w:rsidRPr="00C6349F">
              <w:rPr>
                <w:color w:val="auto"/>
              </w:rPr>
              <w:t>10</w:t>
            </w:r>
          </w:p>
        </w:tc>
        <w:tc>
          <w:tcPr>
            <w:tcW w:w="1505" w:type="dxa"/>
            <w:shd w:val="clear" w:color="auto" w:fill="auto"/>
            <w:vAlign w:val="center"/>
          </w:tcPr>
          <w:p w14:paraId="67D1F453" w14:textId="77777777" w:rsidR="00AE438D" w:rsidRPr="00C6349F" w:rsidRDefault="00AE438D" w:rsidP="00A22D44">
            <w:pPr>
              <w:rPr>
                <w:color w:val="auto"/>
              </w:rPr>
            </w:pPr>
            <w:r w:rsidRPr="00C6349F">
              <w:rPr>
                <w:color w:val="auto"/>
              </w:rPr>
              <w:t>57,5</w:t>
            </w:r>
          </w:p>
        </w:tc>
        <w:tc>
          <w:tcPr>
            <w:tcW w:w="1330" w:type="dxa"/>
            <w:shd w:val="clear" w:color="auto" w:fill="auto"/>
          </w:tcPr>
          <w:p w14:paraId="7C971267" w14:textId="77777777" w:rsidR="00AE438D" w:rsidRPr="00C6349F" w:rsidRDefault="00AE438D" w:rsidP="00A22D44">
            <w:pPr>
              <w:rPr>
                <w:color w:val="auto"/>
              </w:rPr>
            </w:pPr>
            <w:r w:rsidRPr="00C6349F">
              <w:rPr>
                <w:color w:val="auto"/>
              </w:rPr>
              <w:t>244,38</w:t>
            </w:r>
          </w:p>
        </w:tc>
        <w:tc>
          <w:tcPr>
            <w:tcW w:w="993" w:type="dxa"/>
            <w:shd w:val="clear" w:color="auto" w:fill="auto"/>
          </w:tcPr>
          <w:p w14:paraId="4AA9FC18" w14:textId="77777777" w:rsidR="00AE438D" w:rsidRPr="00C6349F" w:rsidRDefault="00AE438D" w:rsidP="00A22D44">
            <w:pPr>
              <w:rPr>
                <w:color w:val="auto"/>
              </w:rPr>
            </w:pPr>
            <w:r w:rsidRPr="00C6349F">
              <w:rPr>
                <w:color w:val="auto"/>
              </w:rPr>
              <w:t>2932,5</w:t>
            </w:r>
          </w:p>
        </w:tc>
        <w:tc>
          <w:tcPr>
            <w:tcW w:w="1134" w:type="dxa"/>
            <w:shd w:val="clear" w:color="auto" w:fill="auto"/>
          </w:tcPr>
          <w:p w14:paraId="7638F62A" w14:textId="1AD37BBB" w:rsidR="00AE438D" w:rsidRPr="00C6349F" w:rsidRDefault="00AE438D" w:rsidP="00A22D44">
            <w:pPr>
              <w:rPr>
                <w:color w:val="auto"/>
              </w:rPr>
            </w:pPr>
            <w:r w:rsidRPr="00C6349F">
              <w:rPr>
                <w:color w:val="auto"/>
              </w:rPr>
              <w:t xml:space="preserve">€ </w:t>
            </w:r>
            <w:r w:rsidRPr="00C6349F">
              <w:rPr>
                <w:color w:val="auto"/>
              </w:rPr>
              <w:t>616,40</w:t>
            </w:r>
          </w:p>
        </w:tc>
        <w:tc>
          <w:tcPr>
            <w:tcW w:w="1275" w:type="dxa"/>
            <w:shd w:val="clear" w:color="auto" w:fill="auto"/>
          </w:tcPr>
          <w:p w14:paraId="0248941C" w14:textId="12A34034" w:rsidR="00AE438D" w:rsidRPr="00C6349F" w:rsidRDefault="00AE438D" w:rsidP="00A22D44">
            <w:pPr>
              <w:rPr>
                <w:color w:val="auto"/>
              </w:rPr>
            </w:pPr>
            <w:r w:rsidRPr="00C6349F">
              <w:rPr>
                <w:color w:val="auto"/>
              </w:rPr>
              <w:t xml:space="preserve">€ </w:t>
            </w:r>
            <w:r w:rsidRPr="00C6349F">
              <w:rPr>
                <w:color w:val="auto"/>
              </w:rPr>
              <w:t>2619,70</w:t>
            </w:r>
          </w:p>
        </w:tc>
        <w:tc>
          <w:tcPr>
            <w:tcW w:w="1418" w:type="dxa"/>
            <w:shd w:val="clear" w:color="auto" w:fill="auto"/>
          </w:tcPr>
          <w:p w14:paraId="3566AA8C" w14:textId="3D0A2150" w:rsidR="00AE438D" w:rsidRPr="00C6349F" w:rsidRDefault="00AE438D" w:rsidP="00A22D44">
            <w:pPr>
              <w:rPr>
                <w:color w:val="auto"/>
              </w:rPr>
            </w:pPr>
            <w:r w:rsidRPr="00C6349F">
              <w:rPr>
                <w:color w:val="auto"/>
              </w:rPr>
              <w:t xml:space="preserve">€ </w:t>
            </w:r>
            <w:r w:rsidRPr="00C6349F">
              <w:rPr>
                <w:color w:val="auto"/>
              </w:rPr>
              <w:t>31436,40</w:t>
            </w:r>
          </w:p>
        </w:tc>
      </w:tr>
    </w:tbl>
    <w:p w14:paraId="7C8E217F" w14:textId="77777777" w:rsidR="00AE438D" w:rsidRDefault="00AE438D"/>
    <w:p w14:paraId="2C6966C0" w14:textId="77777777" w:rsidR="00C6349F" w:rsidRPr="00CE0086" w:rsidRDefault="00C6349F" w:rsidP="00C6349F"/>
    <w:p w14:paraId="6297A499"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Het Coendersnest is 51 weken per jaar geopend. Tussen kerst en oud en nieuw zijn wij gesloten.</w:t>
      </w:r>
    </w:p>
    <w:p w14:paraId="6E925B0B"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De kosten zijn inclusief flesvoeding (met uitzondering van dieetvoeding), brood, fruit, andere tussendoortjes, luiers, festiviteiten, maar exclusief warme maaltijden.</w:t>
      </w:r>
    </w:p>
    <w:p w14:paraId="7FBBB08D"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 xml:space="preserve">Tijdens feestdagen, vakanties, ziekte of afwezigheid dient te worden doorbetaald. </w:t>
      </w:r>
    </w:p>
    <w:p w14:paraId="5E70FF4A"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Het is mogelijk om een dag of dagdeel te ruilen. Vraag naar de voorwaarden.</w:t>
      </w:r>
    </w:p>
    <w:p w14:paraId="2FFEB3A5"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 xml:space="preserve">De tarieven zijn bruto prijzen. Ouder(s)/ verzorger(s) kunnen in aanmerking komen voor </w:t>
      </w:r>
      <w:hyperlink r:id="rId7" w:tgtFrame="_self" w:tooltip=" kinderopvangtoeslag " w:history="1">
        <w:r w:rsidRPr="00C6349F">
          <w:rPr>
            <w:color w:val="auto"/>
            <w:sz w:val="20"/>
            <w:szCs w:val="20"/>
            <w:bdr w:val="none" w:sz="0" w:space="0" w:color="auto" w:frame="1"/>
          </w:rPr>
          <w:t>kinderopvangtoeslag</w:t>
        </w:r>
      </w:hyperlink>
      <w:r w:rsidRPr="00C6349F">
        <w:rPr>
          <w:color w:val="auto"/>
          <w:sz w:val="20"/>
          <w:szCs w:val="20"/>
        </w:rPr>
        <w:t xml:space="preserve"> via de Belastingdienst. Meer informatie over de kinderopvangtoeslag kunt u </w:t>
      </w:r>
      <w:hyperlink r:id="rId8" w:history="1">
        <w:r w:rsidRPr="00C6349F">
          <w:rPr>
            <w:rStyle w:val="Hyperlink"/>
            <w:color w:val="auto"/>
            <w:sz w:val="20"/>
            <w:szCs w:val="20"/>
          </w:rPr>
          <w:t>hier</w:t>
        </w:r>
      </w:hyperlink>
      <w:r w:rsidRPr="00C6349F">
        <w:rPr>
          <w:color w:val="auto"/>
          <w:sz w:val="20"/>
          <w:szCs w:val="20"/>
        </w:rPr>
        <w:t xml:space="preserve"> vinden.</w:t>
      </w:r>
    </w:p>
    <w:p w14:paraId="593E7AC9"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 xml:space="preserve">Heeft u vragen over de aanvraag van kinderopvangtoeslag, neem dan contact op met de Belastingtelefoon: 0800 - 0543. </w:t>
      </w:r>
    </w:p>
    <w:p w14:paraId="4CF9538D"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 xml:space="preserve">Meer informatie kunt u vinden op </w:t>
      </w:r>
      <w:hyperlink r:id="rId9" w:history="1">
        <w:r w:rsidRPr="00C6349F">
          <w:rPr>
            <w:rStyle w:val="Hyperlink"/>
            <w:color w:val="auto"/>
            <w:sz w:val="20"/>
            <w:szCs w:val="20"/>
          </w:rPr>
          <w:t>www.boink.nl</w:t>
        </w:r>
      </w:hyperlink>
      <w:r w:rsidRPr="00C6349F">
        <w:rPr>
          <w:color w:val="auto"/>
          <w:sz w:val="20"/>
          <w:szCs w:val="20"/>
        </w:rPr>
        <w:t xml:space="preserve">, </w:t>
      </w:r>
      <w:hyperlink r:id="rId10" w:history="1">
        <w:r w:rsidRPr="00C6349F">
          <w:rPr>
            <w:rStyle w:val="Hyperlink"/>
            <w:color w:val="auto"/>
            <w:sz w:val="20"/>
            <w:szCs w:val="20"/>
          </w:rPr>
          <w:t>www.wbk.nl</w:t>
        </w:r>
      </w:hyperlink>
      <w:r w:rsidRPr="00C6349F">
        <w:rPr>
          <w:color w:val="auto"/>
          <w:sz w:val="20"/>
          <w:szCs w:val="20"/>
        </w:rPr>
        <w:t xml:space="preserve">, </w:t>
      </w:r>
      <w:hyperlink r:id="rId11" w:history="1">
        <w:r w:rsidRPr="00C6349F">
          <w:rPr>
            <w:rStyle w:val="Hyperlink"/>
            <w:color w:val="auto"/>
            <w:sz w:val="20"/>
            <w:szCs w:val="20"/>
          </w:rPr>
          <w:t>www.SZW.nl</w:t>
        </w:r>
      </w:hyperlink>
      <w:r w:rsidRPr="00C6349F">
        <w:rPr>
          <w:color w:val="auto"/>
          <w:sz w:val="20"/>
          <w:szCs w:val="20"/>
        </w:rPr>
        <w:t>.</w:t>
      </w:r>
    </w:p>
    <w:p w14:paraId="14071C98"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De prijzen kunnen worden aangepast u krijgt hierover tijdig bericht.</w:t>
      </w:r>
    </w:p>
    <w:p w14:paraId="6FE0BAEC"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Maandelijks ontvangt u van ons een rekening, die wij via automatische incasso bij u innen. Hiervoor dient u bij plaatsing een eenmalige S€PA machtiging te tekenen.</w:t>
      </w:r>
    </w:p>
    <w:p w14:paraId="1B6FE96C" w14:textId="77777777" w:rsidR="00C6349F" w:rsidRPr="00C6349F" w:rsidRDefault="00C6349F" w:rsidP="00C6349F">
      <w:pPr>
        <w:pStyle w:val="Lijstalinea"/>
        <w:numPr>
          <w:ilvl w:val="0"/>
          <w:numId w:val="1"/>
        </w:numPr>
        <w:rPr>
          <w:color w:val="auto"/>
          <w:sz w:val="20"/>
          <w:szCs w:val="20"/>
        </w:rPr>
      </w:pPr>
      <w:r w:rsidRPr="00C6349F">
        <w:rPr>
          <w:color w:val="auto"/>
          <w:sz w:val="20"/>
          <w:szCs w:val="20"/>
        </w:rPr>
        <w:t>Indien niet wordt betaald middels automatische incasso worden administratiekosten in rekening gebracht á € 2,50.</w:t>
      </w:r>
    </w:p>
    <w:p w14:paraId="6433A5B8" w14:textId="73B911D3" w:rsidR="00C6349F" w:rsidRPr="00C6349F" w:rsidRDefault="00C6349F" w:rsidP="00C6349F">
      <w:pPr>
        <w:pStyle w:val="Lijstalinea"/>
        <w:numPr>
          <w:ilvl w:val="0"/>
          <w:numId w:val="1"/>
        </w:numPr>
        <w:rPr>
          <w:color w:val="auto"/>
          <w:sz w:val="20"/>
          <w:szCs w:val="20"/>
        </w:rPr>
      </w:pPr>
      <w:r w:rsidRPr="00C6349F">
        <w:rPr>
          <w:color w:val="auto"/>
          <w:sz w:val="20"/>
          <w:szCs w:val="20"/>
        </w:rPr>
        <w:t>Indien een automatische incasso niet kan worden uitgevoerd wegens onvoldoende saldo of een opgeheven of geblokkeerde rekening, dan kan er op de volgende factuur extra administratiekosten in rekening worden gebracht van €4,75 per keer dat er niet geïncasseerd kan worden. Indien het incassobedrag gestorneerd wordt, wordt er op de volgende factuur extra administratiekosten van €4,75 in rekening gebracht.</w:t>
      </w:r>
    </w:p>
    <w:sectPr w:rsidR="00C6349F" w:rsidRPr="00C6349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D39ED" w14:textId="77777777" w:rsidR="00C6349F" w:rsidRDefault="00C6349F" w:rsidP="00C6349F">
      <w:r>
        <w:separator/>
      </w:r>
    </w:p>
  </w:endnote>
  <w:endnote w:type="continuationSeparator" w:id="0">
    <w:p w14:paraId="66E3B785" w14:textId="77777777" w:rsidR="00C6349F" w:rsidRDefault="00C6349F" w:rsidP="00C6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21FC" w14:textId="77777777" w:rsidR="00C6349F" w:rsidRDefault="00C6349F" w:rsidP="00C6349F">
      <w:r>
        <w:separator/>
      </w:r>
    </w:p>
  </w:footnote>
  <w:footnote w:type="continuationSeparator" w:id="0">
    <w:p w14:paraId="1E58654A" w14:textId="77777777" w:rsidR="00C6349F" w:rsidRDefault="00C6349F" w:rsidP="00C6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C9DF" w14:textId="444E8515" w:rsidR="00C6349F" w:rsidRDefault="00C6349F">
    <w:pPr>
      <w:pStyle w:val="Koptekst"/>
    </w:pPr>
    <w:r>
      <w:rPr>
        <w:noProof/>
      </w:rPr>
      <w:drawing>
        <wp:anchor distT="0" distB="0" distL="114300" distR="114300" simplePos="0" relativeHeight="251659264" behindDoc="0" locked="0" layoutInCell="1" allowOverlap="1" wp14:anchorId="135451E5" wp14:editId="7A137C66">
          <wp:simplePos x="0" y="0"/>
          <wp:positionH relativeFrom="column">
            <wp:posOffset>4007485</wp:posOffset>
          </wp:positionH>
          <wp:positionV relativeFrom="paragraph">
            <wp:posOffset>-15240</wp:posOffset>
          </wp:positionV>
          <wp:extent cx="1836420" cy="1074420"/>
          <wp:effectExtent l="0" t="0" r="0" b="0"/>
          <wp:wrapSquare wrapText="bothSides"/>
          <wp:docPr id="1" name="Afbeelding 1" descr="Afbeelding met vogel, tekening, tekst, clipar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descr="Afbeelding met vogel, tekening, tekst, clipart&#10;&#10;Automatisch gegenereerde beschrijvi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F5144"/>
    <w:multiLevelType w:val="hybridMultilevel"/>
    <w:tmpl w:val="9BDE3606"/>
    <w:lvl w:ilvl="0" w:tplc="40508DE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37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8D"/>
    <w:rsid w:val="00100920"/>
    <w:rsid w:val="002909BB"/>
    <w:rsid w:val="006406F8"/>
    <w:rsid w:val="00AE438D"/>
    <w:rsid w:val="00C6349F"/>
    <w:rsid w:val="00C71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4E6C"/>
  <w15:chartTrackingRefBased/>
  <w15:docId w15:val="{BDE07062-88CF-4FA0-81DB-D7D6FDA1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color w:val="156082" w:themeColor="accent1"/>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38D"/>
  </w:style>
  <w:style w:type="paragraph" w:styleId="Kop1">
    <w:name w:val="heading 1"/>
    <w:basedOn w:val="Standaard"/>
    <w:next w:val="Standaard"/>
    <w:link w:val="Kop1Char"/>
    <w:uiPriority w:val="9"/>
    <w:qFormat/>
    <w:rsid w:val="00AE4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4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43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43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AE438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AE438D"/>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E438D"/>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E438D"/>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E438D"/>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43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43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438D"/>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AE438D"/>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AE438D"/>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AE438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E438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E438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E438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E438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AE438D"/>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AE43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438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E438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E438D"/>
    <w:rPr>
      <w:i/>
      <w:iCs/>
      <w:color w:val="404040" w:themeColor="text1" w:themeTint="BF"/>
    </w:rPr>
  </w:style>
  <w:style w:type="paragraph" w:styleId="Lijstalinea">
    <w:name w:val="List Paragraph"/>
    <w:basedOn w:val="Standaard"/>
    <w:uiPriority w:val="34"/>
    <w:qFormat/>
    <w:rsid w:val="00AE438D"/>
    <w:pPr>
      <w:ind w:left="720"/>
      <w:contextualSpacing/>
    </w:pPr>
  </w:style>
  <w:style w:type="character" w:styleId="Intensievebenadrukking">
    <w:name w:val="Intense Emphasis"/>
    <w:basedOn w:val="Standaardalinea-lettertype"/>
    <w:uiPriority w:val="21"/>
    <w:qFormat/>
    <w:rsid w:val="00AE438D"/>
    <w:rPr>
      <w:i/>
      <w:iCs/>
      <w:color w:val="0F4761" w:themeColor="accent1" w:themeShade="BF"/>
    </w:rPr>
  </w:style>
  <w:style w:type="paragraph" w:styleId="Duidelijkcitaat">
    <w:name w:val="Intense Quote"/>
    <w:basedOn w:val="Standaard"/>
    <w:next w:val="Standaard"/>
    <w:link w:val="DuidelijkcitaatChar"/>
    <w:uiPriority w:val="30"/>
    <w:qFormat/>
    <w:rsid w:val="00AE4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438D"/>
    <w:rPr>
      <w:i/>
      <w:iCs/>
      <w:color w:val="0F4761" w:themeColor="accent1" w:themeShade="BF"/>
    </w:rPr>
  </w:style>
  <w:style w:type="character" w:styleId="Intensieveverwijzing">
    <w:name w:val="Intense Reference"/>
    <w:basedOn w:val="Standaardalinea-lettertype"/>
    <w:uiPriority w:val="32"/>
    <w:qFormat/>
    <w:rsid w:val="00AE438D"/>
    <w:rPr>
      <w:b/>
      <w:bCs/>
      <w:smallCaps/>
      <w:color w:val="0F4761" w:themeColor="accent1" w:themeShade="BF"/>
      <w:spacing w:val="5"/>
    </w:rPr>
  </w:style>
  <w:style w:type="paragraph" w:styleId="Koptekst">
    <w:name w:val="header"/>
    <w:basedOn w:val="Standaard"/>
    <w:link w:val="KoptekstChar"/>
    <w:uiPriority w:val="99"/>
    <w:unhideWhenUsed/>
    <w:rsid w:val="00C6349F"/>
    <w:pPr>
      <w:tabs>
        <w:tab w:val="center" w:pos="4536"/>
        <w:tab w:val="right" w:pos="9072"/>
      </w:tabs>
    </w:pPr>
  </w:style>
  <w:style w:type="character" w:customStyle="1" w:styleId="KoptekstChar">
    <w:name w:val="Koptekst Char"/>
    <w:basedOn w:val="Standaardalinea-lettertype"/>
    <w:link w:val="Koptekst"/>
    <w:uiPriority w:val="99"/>
    <w:rsid w:val="00C6349F"/>
  </w:style>
  <w:style w:type="paragraph" w:styleId="Voettekst">
    <w:name w:val="footer"/>
    <w:basedOn w:val="Standaard"/>
    <w:link w:val="VoettekstChar"/>
    <w:uiPriority w:val="99"/>
    <w:unhideWhenUsed/>
    <w:rsid w:val="00C6349F"/>
    <w:pPr>
      <w:tabs>
        <w:tab w:val="center" w:pos="4536"/>
        <w:tab w:val="right" w:pos="9072"/>
      </w:tabs>
    </w:pPr>
  </w:style>
  <w:style w:type="character" w:customStyle="1" w:styleId="VoettekstChar">
    <w:name w:val="Voettekst Char"/>
    <w:basedOn w:val="Standaardalinea-lettertype"/>
    <w:link w:val="Voettekst"/>
    <w:uiPriority w:val="99"/>
    <w:rsid w:val="00C6349F"/>
  </w:style>
  <w:style w:type="character" w:styleId="Hyperlink">
    <w:name w:val="Hyperlink"/>
    <w:rsid w:val="00C63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nl/kinderopvangtoeslag/content/kan-ik-kinderopvangtoeslag-krij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badoo-kinderopvang.nl/tarieven/kinderopvangtoesla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ZW.nl" TargetMode="External"/><Relationship Id="rId5" Type="http://schemas.openxmlformats.org/officeDocument/2006/relationships/footnotes" Target="footnotes.xml"/><Relationship Id="rId10" Type="http://schemas.openxmlformats.org/officeDocument/2006/relationships/hyperlink" Target="http://www.wbk.nl" TargetMode="External"/><Relationship Id="rId4" Type="http://schemas.openxmlformats.org/officeDocument/2006/relationships/webSettings" Target="webSettings.xml"/><Relationship Id="rId9" Type="http://schemas.openxmlformats.org/officeDocument/2006/relationships/hyperlink" Target="http://www.boink.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408</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Alt</dc:creator>
  <cp:keywords/>
  <dc:description/>
  <cp:lastModifiedBy>Ilona Alt</cp:lastModifiedBy>
  <cp:revision>1</cp:revision>
  <cp:lastPrinted>2024-10-23T18:40:00Z</cp:lastPrinted>
  <dcterms:created xsi:type="dcterms:W3CDTF">2024-10-23T18:00:00Z</dcterms:created>
  <dcterms:modified xsi:type="dcterms:W3CDTF">2024-10-23T18:41:00Z</dcterms:modified>
</cp:coreProperties>
</file>